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1D" w:rsidRDefault="00BC299A">
      <w:pPr>
        <w:pStyle w:val="Heading1"/>
        <w:pBdr>
          <w:bottom w:val="single" w:sz="4" w:space="1" w:color="000000"/>
        </w:pBdr>
        <w:spacing w:before="0" w:line="276" w:lineRule="auto"/>
        <w:jc w:val="both"/>
        <w:rPr>
          <w:rFonts w:ascii="Calibri" w:eastAsia="Calibri" w:hAnsi="Calibri" w:cs="Calibri"/>
          <w:color w:val="000000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</w:rPr>
        <w:br/>
        <w:t>Admissions Policy for Chipping Norton School Sixth Form 2022/2023</w:t>
      </w:r>
    </w:p>
    <w:p w:rsidR="001F181D" w:rsidRDefault="00BC299A">
      <w:pPr>
        <w:pBdr>
          <w:bottom w:val="single" w:sz="4" w:space="1" w:color="000000"/>
        </w:pBdr>
        <w:spacing w:after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16-19 Provision (Years 12 and 13)</w:t>
      </w:r>
    </w:p>
    <w:p w:rsidR="001F181D" w:rsidRDefault="001F181D">
      <w:pPr>
        <w:spacing w:after="0" w:line="276" w:lineRule="auto"/>
        <w:rPr>
          <w:b/>
          <w:sz w:val="24"/>
          <w:szCs w:val="24"/>
          <w:u w:val="single"/>
        </w:rPr>
      </w:pPr>
    </w:p>
    <w:p w:rsidR="001F181D" w:rsidRDefault="00BC299A">
      <w:pPr>
        <w:spacing w:after="0"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Introduction</w:t>
      </w:r>
    </w:p>
    <w:p w:rsidR="001F181D" w:rsidRDefault="00BC299A">
      <w:pPr>
        <w:spacing w:after="0" w:line="276" w:lineRule="auto"/>
      </w:pPr>
      <w:r>
        <w:t xml:space="preserve">Chipping Norton School is an 11-18 comprehensive </w:t>
      </w:r>
      <w:proofErr w:type="gramStart"/>
      <w:r>
        <w:t>school which</w:t>
      </w:r>
      <w:proofErr w:type="gramEnd"/>
      <w:r>
        <w:t xml:space="preserve"> aims to provide excellent education to all students. The School is an Academy managed by the River Learning Trust.</w:t>
      </w:r>
    </w:p>
    <w:p w:rsidR="001F181D" w:rsidRDefault="001F18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8"/>
          <w:szCs w:val="8"/>
        </w:rPr>
      </w:pPr>
    </w:p>
    <w:p w:rsidR="001F181D" w:rsidRDefault="00BC299A">
      <w:pPr>
        <w:spacing w:after="0" w:line="276" w:lineRule="auto"/>
        <w:jc w:val="both"/>
      </w:pPr>
      <w:proofErr w:type="gramStart"/>
      <w:r>
        <w:t>This policy has been approved by Chipping Norton School Governing Body and the</w:t>
      </w:r>
      <w:r>
        <w:t xml:space="preserve"> River Learning Trust Board of Trustees, the body responsible for admission arrangements and decisions</w:t>
      </w:r>
      <w:proofErr w:type="gramEnd"/>
      <w:r>
        <w:t>. These arrangements come into force for admissions planned for 2022-23.</w:t>
      </w:r>
    </w:p>
    <w:p w:rsidR="001F181D" w:rsidRDefault="001F18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8"/>
          <w:szCs w:val="8"/>
        </w:rPr>
      </w:pPr>
    </w:p>
    <w:p w:rsidR="001F181D" w:rsidRDefault="00BC29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This policy is for entry to the Sixth Form where applications are made directly </w:t>
      </w:r>
      <w:r>
        <w:rPr>
          <w:color w:val="000000"/>
        </w:rPr>
        <w:t>to the school; the policy for entry to 11-16 Provision (Years 7 to 8) is available separately where applications are part of the Oxfordshire Local Authority co-ordinated scheme and further details of this process, including important dates can be found at:</w:t>
      </w:r>
      <w:r>
        <w:rPr>
          <w:color w:val="000000"/>
        </w:rPr>
        <w:t xml:space="preserve"> </w:t>
      </w:r>
      <w:hyperlink r:id="rId8">
        <w:r>
          <w:rPr>
            <w:color w:val="0000FF"/>
            <w:u w:val="single"/>
          </w:rPr>
          <w:t>https://www.oxfordshire.gov.uk/cms/content/secondary-school-applications</w:t>
        </w:r>
      </w:hyperlink>
      <w:r>
        <w:rPr>
          <w:color w:val="000000"/>
        </w:rPr>
        <w:t xml:space="preserve"> .  </w:t>
      </w:r>
    </w:p>
    <w:p w:rsidR="001F181D" w:rsidRDefault="001F18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8"/>
          <w:szCs w:val="8"/>
        </w:rPr>
      </w:pPr>
    </w:p>
    <w:p w:rsidR="001F181D" w:rsidRDefault="00BC29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Further details on how to make an application for entry to the Sixth Form (Years 12 a</w:t>
      </w:r>
      <w:r>
        <w:rPr>
          <w:color w:val="000000"/>
        </w:rPr>
        <w:t xml:space="preserve">nd 13) can be found at: </w:t>
      </w:r>
      <w:hyperlink r:id="rId9">
        <w:r>
          <w:rPr>
            <w:color w:val="1155CC"/>
            <w:u w:val="single"/>
          </w:rPr>
          <w:t>https://chipping-norton.oxon.sch.uk/students/6th-form/joining-the-sixth-form/</w:t>
        </w:r>
      </w:hyperlink>
    </w:p>
    <w:p w:rsidR="001F181D" w:rsidRDefault="00BC29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 </w:t>
      </w:r>
    </w:p>
    <w:p w:rsidR="001F181D" w:rsidRDefault="00BC299A">
      <w:pPr>
        <w:rPr>
          <w:b/>
          <w:u w:val="single"/>
        </w:rPr>
      </w:pPr>
      <w:r>
        <w:rPr>
          <w:b/>
          <w:u w:val="single"/>
        </w:rPr>
        <w:t>Admissions Numbers</w:t>
      </w:r>
      <w:r>
        <w:rPr>
          <w:b/>
        </w:rPr>
        <w:t xml:space="preserve"> </w:t>
      </w:r>
    </w:p>
    <w:p w:rsidR="001F181D" w:rsidRDefault="00BC29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All students in Year 11 at Chipping Norton School who meet the academic entry criteria are entitled to a place in the Sixth Form. </w:t>
      </w:r>
    </w:p>
    <w:p w:rsidR="001F181D" w:rsidRDefault="00BC29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The minimum number of external applicants to </w:t>
      </w:r>
      <w:proofErr w:type="gramStart"/>
      <w:r>
        <w:rPr>
          <w:color w:val="000000"/>
        </w:rPr>
        <w:t>be admitted</w:t>
      </w:r>
      <w:proofErr w:type="gramEnd"/>
      <w:r>
        <w:rPr>
          <w:color w:val="000000"/>
        </w:rPr>
        <w:t xml:space="preserve"> is </w:t>
      </w:r>
      <w:r>
        <w:rPr>
          <w:color w:val="000000"/>
        </w:rPr>
        <w:t xml:space="preserve">not restricted. </w:t>
      </w:r>
    </w:p>
    <w:p w:rsidR="001F181D" w:rsidRDefault="00BC299A">
      <w:pPr>
        <w:rPr>
          <w:b/>
          <w:u w:val="single"/>
        </w:rPr>
      </w:pPr>
      <w:r>
        <w:rPr>
          <w:b/>
          <w:u w:val="single"/>
        </w:rPr>
        <w:t>Admissions Arrangements</w:t>
      </w:r>
      <w:r>
        <w:rPr>
          <w:b/>
        </w:rPr>
        <w:t xml:space="preserve"> </w:t>
      </w:r>
    </w:p>
    <w:p w:rsidR="001F181D" w:rsidRDefault="00BC29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Chipping Norton Sixth F</w:t>
      </w:r>
      <w:r>
        <w:rPr>
          <w:color w:val="000000"/>
        </w:rPr>
        <w:t xml:space="preserve">orm encourages applications from students currently at Chipping Norton School as well as students from other institutions. </w:t>
      </w:r>
    </w:p>
    <w:p w:rsidR="001F181D" w:rsidRDefault="00BC29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The academic entry criteria are the same for both internal and external applicants</w:t>
      </w:r>
    </w:p>
    <w:p w:rsidR="001F181D" w:rsidRDefault="00BC29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All applicants must complete the online applicati</w:t>
      </w:r>
      <w:r>
        <w:rPr>
          <w:color w:val="000000"/>
        </w:rPr>
        <w:t xml:space="preserve">on form and send this to the Sixth Form Administrator by the designated date (usually the start of February). </w:t>
      </w:r>
    </w:p>
    <w:p w:rsidR="001F181D" w:rsidRDefault="00BC29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All information relating to applications is contained within the Sixth Form prospectus, a copy of which </w:t>
      </w:r>
      <w:proofErr w:type="gramStart"/>
      <w:r>
        <w:rPr>
          <w:color w:val="000000"/>
        </w:rPr>
        <w:t>can be found</w:t>
      </w:r>
      <w:proofErr w:type="gramEnd"/>
      <w:r>
        <w:rPr>
          <w:color w:val="000000"/>
        </w:rPr>
        <w:t xml:space="preserve"> on the school website. </w:t>
      </w:r>
    </w:p>
    <w:p w:rsidR="001F181D" w:rsidRDefault="00BC29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 Si</w:t>
      </w:r>
      <w:r>
        <w:rPr>
          <w:color w:val="000000"/>
        </w:rPr>
        <w:t xml:space="preserve">xth Form Open Evening </w:t>
      </w:r>
      <w:proofErr w:type="gramStart"/>
      <w:r>
        <w:rPr>
          <w:color w:val="000000"/>
        </w:rPr>
        <w:t>is held</w:t>
      </w:r>
      <w:proofErr w:type="gramEnd"/>
      <w:r>
        <w:rPr>
          <w:color w:val="000000"/>
        </w:rPr>
        <w:t xml:space="preserve"> annually (in November </w:t>
      </w:r>
      <w:r>
        <w:t>/</w:t>
      </w:r>
      <w:r>
        <w:rPr>
          <w:color w:val="000000"/>
        </w:rPr>
        <w:t xml:space="preserve"> December) and all potential applicants are encouraged to attend.</w:t>
      </w:r>
    </w:p>
    <w:p w:rsidR="001F181D" w:rsidRDefault="00BC29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Internal applicants will receive guidance prior to completing their application.  External candidates may have a guidance </w:t>
      </w:r>
      <w:r>
        <w:t>conversation</w:t>
      </w:r>
      <w:r>
        <w:rPr>
          <w:color w:val="000000"/>
        </w:rPr>
        <w:t xml:space="preserve"> wi</w:t>
      </w:r>
      <w:r>
        <w:rPr>
          <w:color w:val="000000"/>
        </w:rPr>
        <w:t xml:space="preserve">th a member of staff after receipt of their application. The guidance </w:t>
      </w:r>
      <w:r>
        <w:t>conversation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will only be used</w:t>
      </w:r>
      <w:proofErr w:type="gramEnd"/>
      <w:r>
        <w:rPr>
          <w:color w:val="000000"/>
        </w:rPr>
        <w:t xml:space="preserve"> to discuss options and academic entry requirements for particular courses.</w:t>
      </w:r>
    </w:p>
    <w:p w:rsidR="001F181D" w:rsidRDefault="00BC29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The school aims to inform </w:t>
      </w:r>
      <w:r>
        <w:rPr>
          <w:color w:val="000000"/>
        </w:rPr>
        <w:t>applicants whether or not they have been successful in</w:t>
      </w:r>
      <w:r>
        <w:rPr>
          <w:color w:val="000000"/>
        </w:rPr>
        <w:t xml:space="preserve"> their application by the end of Term 4.</w:t>
      </w:r>
      <w:r>
        <w:rPr>
          <w:color w:val="000000"/>
        </w:rPr>
        <w:t xml:space="preserve"> </w:t>
      </w:r>
    </w:p>
    <w:p w:rsidR="001F181D" w:rsidRDefault="00BC29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Students wishing to study a subject at another institution should indicate this on the application form.  Chipping Norton School will facilitate this where possible and no further application is required. </w:t>
      </w:r>
    </w:p>
    <w:p w:rsidR="001F181D" w:rsidRDefault="00BC29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lastRenderedPageBreak/>
        <w:t>For succ</w:t>
      </w:r>
      <w:r>
        <w:rPr>
          <w:color w:val="000000"/>
        </w:rPr>
        <w:t>essful external applicants, a formal written acceptance of the offer will be required by the date indicated in the offer letter.  Should a student fail to accept the offer by this date the school reserves the right to withdraw the offer of a place in the S</w:t>
      </w:r>
      <w:r>
        <w:rPr>
          <w:color w:val="000000"/>
        </w:rPr>
        <w:t xml:space="preserve">ixth Form. </w:t>
      </w:r>
    </w:p>
    <w:p w:rsidR="001F181D" w:rsidRDefault="00BC29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All applicants who </w:t>
      </w:r>
      <w:proofErr w:type="gramStart"/>
      <w:r>
        <w:rPr>
          <w:color w:val="000000"/>
        </w:rPr>
        <w:t>have been offered</w:t>
      </w:r>
      <w:proofErr w:type="gramEnd"/>
      <w:r>
        <w:rPr>
          <w:color w:val="000000"/>
        </w:rPr>
        <w:t xml:space="preserve"> a conditional place will be invited to attend the Sixth Form induction programme (</w:t>
      </w:r>
      <w:r>
        <w:rPr>
          <w:color w:val="000000"/>
        </w:rPr>
        <w:t>in early July</w:t>
      </w:r>
      <w:r>
        <w:rPr>
          <w:color w:val="000000"/>
        </w:rPr>
        <w:t xml:space="preserve">) and confirm subject choices once students have received their GCSE results in August.  Should a student fail to confirm subject choices without good reason the school reserves the right to withdraw the offer of a place in the Sixth Form. </w:t>
      </w:r>
    </w:p>
    <w:p w:rsidR="001F181D" w:rsidRDefault="001F181D">
      <w:pPr>
        <w:rPr>
          <w:b/>
          <w:u w:val="single"/>
        </w:rPr>
      </w:pPr>
    </w:p>
    <w:p w:rsidR="001F181D" w:rsidRDefault="00BC299A">
      <w:pPr>
        <w:rPr>
          <w:b/>
          <w:u w:val="single"/>
        </w:rPr>
      </w:pPr>
      <w:r>
        <w:rPr>
          <w:b/>
          <w:u w:val="single"/>
        </w:rPr>
        <w:t>Admission Requ</w:t>
      </w:r>
      <w:r>
        <w:rPr>
          <w:b/>
          <w:u w:val="single"/>
        </w:rPr>
        <w:t>irements: Academic Entry Criteria</w:t>
      </w:r>
    </w:p>
    <w:p w:rsidR="001F181D" w:rsidRDefault="00BC29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Admission to particular courses will depend upon availability of places and a student’s prior attainment at GCSE. </w:t>
      </w:r>
    </w:p>
    <w:p w:rsidR="001F181D" w:rsidRDefault="00BC29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Our policy is to ensure that students accepted into the sixth form </w:t>
      </w:r>
      <w:proofErr w:type="gramStart"/>
      <w:r>
        <w:rPr>
          <w:color w:val="000000"/>
        </w:rPr>
        <w:t>can be placed</w:t>
      </w:r>
      <w:proofErr w:type="gramEnd"/>
      <w:r>
        <w:rPr>
          <w:color w:val="000000"/>
        </w:rPr>
        <w:t xml:space="preserve"> in appropriate courses whe</w:t>
      </w:r>
      <w:r>
        <w:rPr>
          <w:color w:val="000000"/>
        </w:rPr>
        <w:t xml:space="preserve">re they are likely to succeed.  For this </w:t>
      </w:r>
      <w:proofErr w:type="gramStart"/>
      <w:r>
        <w:rPr>
          <w:color w:val="000000"/>
        </w:rPr>
        <w:t>reason</w:t>
      </w:r>
      <w:proofErr w:type="gramEnd"/>
      <w:r>
        <w:rPr>
          <w:color w:val="000000"/>
        </w:rPr>
        <w:t xml:space="preserve"> the following entry criteria apply to the courses offered.  .  </w:t>
      </w:r>
    </w:p>
    <w:p w:rsidR="001F181D" w:rsidRDefault="00BC29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 xml:space="preserve">General entry requirements: </w:t>
      </w:r>
      <w:r>
        <w:rPr>
          <w:color w:val="000000"/>
        </w:rPr>
        <w:t xml:space="preserve">All students will require at least 7 grade </w:t>
      </w:r>
      <w:proofErr w:type="gramStart"/>
      <w:r>
        <w:rPr>
          <w:color w:val="000000"/>
        </w:rPr>
        <w:t xml:space="preserve">4 </w:t>
      </w:r>
      <w:r>
        <w:t xml:space="preserve"> or</w:t>
      </w:r>
      <w:proofErr w:type="gramEnd"/>
      <w:r>
        <w:t xml:space="preserve"> above</w:t>
      </w:r>
      <w:r>
        <w:rPr>
          <w:color w:val="000000"/>
        </w:rPr>
        <w:t xml:space="preserve"> GCSE passes. </w:t>
      </w:r>
      <w:r>
        <w:t xml:space="preserve">These must include </w:t>
      </w:r>
      <w:proofErr w:type="gramStart"/>
      <w:r>
        <w:t>a  grade</w:t>
      </w:r>
      <w:proofErr w:type="gramEnd"/>
      <w:r>
        <w:t xml:space="preserve"> 4 or above in both E</w:t>
      </w:r>
      <w:r>
        <w:t xml:space="preserve">nglish (Language or Literature) and Mathematics GCSE. </w:t>
      </w:r>
    </w:p>
    <w:p w:rsidR="001F181D" w:rsidRDefault="00BC29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 xml:space="preserve">Subject specific entry requirements: </w:t>
      </w:r>
      <w:r>
        <w:rPr>
          <w:color w:val="000000"/>
        </w:rPr>
        <w:t>M</w:t>
      </w:r>
      <w:r>
        <w:t>ost</w:t>
      </w:r>
      <w:r>
        <w:rPr>
          <w:color w:val="000000"/>
        </w:rPr>
        <w:t xml:space="preserve"> courses have additional subject specific </w:t>
      </w:r>
      <w:proofErr w:type="gramStart"/>
      <w:r>
        <w:t>requirements</w:t>
      </w:r>
      <w:r>
        <w:rPr>
          <w:color w:val="000000"/>
        </w:rPr>
        <w:t xml:space="preserve"> which</w:t>
      </w:r>
      <w:proofErr w:type="gramEnd"/>
      <w:r>
        <w:rPr>
          <w:color w:val="000000"/>
        </w:rPr>
        <w:t xml:space="preserve"> are detailed online and in our course prospectus. </w:t>
      </w:r>
    </w:p>
    <w:p w:rsidR="001F181D" w:rsidRDefault="00BC29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Typically, </w:t>
      </w:r>
      <w:proofErr w:type="gramStart"/>
      <w:r>
        <w:t>courses  will</w:t>
      </w:r>
      <w:proofErr w:type="gramEnd"/>
      <w:r>
        <w:t xml:space="preserve"> require a grade 6 in the chosen subject at GCSE. Combined with the general entry requirements, and factoring three KS5 subject choices,  this equates to a minimum GCSE point score of 34 required for most programmes of study across </w:t>
      </w:r>
      <w:r>
        <w:t xml:space="preserve">a student’s highest 7 GCSE results. Please see appendix B for an explanation of how points towards this measure </w:t>
      </w:r>
      <w:proofErr w:type="gramStart"/>
      <w:r>
        <w:t>are accrued</w:t>
      </w:r>
      <w:proofErr w:type="gramEnd"/>
      <w:r>
        <w:t>.</w:t>
      </w:r>
    </w:p>
    <w:p w:rsidR="001F181D" w:rsidRDefault="00BC29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Offers of places </w:t>
      </w:r>
      <w:proofErr w:type="gramStart"/>
      <w:r>
        <w:rPr>
          <w:color w:val="000000"/>
        </w:rPr>
        <w:t>are made</w:t>
      </w:r>
      <w:proofErr w:type="gramEnd"/>
      <w:r>
        <w:rPr>
          <w:color w:val="000000"/>
        </w:rPr>
        <w:t xml:space="preserve"> for admission into the sixth form and are not offers to study a specific course of subjects.</w:t>
      </w:r>
    </w:p>
    <w:p w:rsidR="001F181D" w:rsidRDefault="00BC29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For in year admission to the sixth form any applicant must meet our GCSE entry requirements. An application form </w:t>
      </w:r>
      <w:proofErr w:type="gramStart"/>
      <w:r>
        <w:rPr>
          <w:color w:val="000000"/>
        </w:rPr>
        <w:t>should be completed</w:t>
      </w:r>
      <w:proofErr w:type="gramEnd"/>
      <w:r>
        <w:rPr>
          <w:color w:val="000000"/>
        </w:rPr>
        <w:t xml:space="preserve">, and if a place is refused then a right of appeal arises.  </w:t>
      </w:r>
    </w:p>
    <w:p w:rsidR="001F181D" w:rsidRDefault="001F181D">
      <w:pPr>
        <w:rPr>
          <w:b/>
          <w:u w:val="single"/>
        </w:rPr>
      </w:pPr>
    </w:p>
    <w:p w:rsidR="001F181D" w:rsidRDefault="00BC299A">
      <w:pPr>
        <w:rPr>
          <w:b/>
          <w:u w:val="single"/>
        </w:rPr>
      </w:pPr>
      <w:r>
        <w:rPr>
          <w:b/>
          <w:u w:val="single"/>
        </w:rPr>
        <w:t>Allocation of Places and Oversubscription Criteria</w:t>
      </w:r>
    </w:p>
    <w:p w:rsidR="001F181D" w:rsidRDefault="00BC299A">
      <w:r>
        <w:t>Where exter</w:t>
      </w:r>
      <w:r>
        <w:t xml:space="preserve">nal students meet the admissions </w:t>
      </w:r>
      <w:proofErr w:type="gramStart"/>
      <w:r>
        <w:t>requirements  places</w:t>
      </w:r>
      <w:proofErr w:type="gramEnd"/>
      <w:r>
        <w:t xml:space="preserve"> will be offered in the following order of priority: </w:t>
      </w:r>
    </w:p>
    <w:p w:rsidR="001F181D" w:rsidRDefault="00BC29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Looked After Children and previously Looked After Children</w:t>
      </w:r>
    </w:p>
    <w:p w:rsidR="001F181D" w:rsidRDefault="00BC29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Other external applicants </w:t>
      </w:r>
    </w:p>
    <w:p w:rsidR="001F181D" w:rsidRDefault="00BC29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For each category, priority </w:t>
      </w:r>
      <w:proofErr w:type="gramStart"/>
      <w:r>
        <w:rPr>
          <w:color w:val="000000"/>
        </w:rPr>
        <w:t>will be given</w:t>
      </w:r>
      <w:proofErr w:type="gramEnd"/>
      <w:r>
        <w:rPr>
          <w:color w:val="000000"/>
        </w:rPr>
        <w:t xml:space="preserve"> to students living ne</w:t>
      </w:r>
      <w:r>
        <w:rPr>
          <w:color w:val="000000"/>
        </w:rPr>
        <w:t xml:space="preserve">arest to the school as measured by straight line distancing.  </w:t>
      </w:r>
    </w:p>
    <w:p w:rsidR="001F181D" w:rsidRDefault="00BC29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>
        <w:rPr>
          <w:color w:val="000000"/>
        </w:rPr>
        <w:t>Tie breaker</w:t>
      </w:r>
      <w:proofErr w:type="gramEnd"/>
      <w:r>
        <w:rPr>
          <w:color w:val="000000"/>
        </w:rPr>
        <w:t xml:space="preserve"> - Where the distance between two children’s homes is the same, random allocation will be used to decide between them. </w:t>
      </w:r>
    </w:p>
    <w:p w:rsidR="001F181D" w:rsidRDefault="001F181D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1F181D" w:rsidRDefault="00BC299A">
      <w:pPr>
        <w:rPr>
          <w:b/>
          <w:u w:val="single"/>
        </w:rPr>
      </w:pPr>
      <w:r>
        <w:br w:type="page"/>
      </w:r>
    </w:p>
    <w:p w:rsidR="001F181D" w:rsidRDefault="00BC299A">
      <w:pPr>
        <w:rPr>
          <w:b/>
          <w:u w:val="single"/>
        </w:rPr>
      </w:pPr>
      <w:r>
        <w:rPr>
          <w:b/>
          <w:u w:val="single"/>
        </w:rPr>
        <w:lastRenderedPageBreak/>
        <w:t>Closing Dates and Late Applications</w:t>
      </w:r>
      <w:r>
        <w:rPr>
          <w:b/>
        </w:rPr>
        <w:t xml:space="preserve"> </w:t>
      </w:r>
    </w:p>
    <w:p w:rsidR="001F181D" w:rsidRDefault="00BC299A">
      <w:r>
        <w:t xml:space="preserve">Internal applications received by the closing date </w:t>
      </w:r>
      <w:proofErr w:type="gramStart"/>
      <w:r>
        <w:t>will be considered</w:t>
      </w:r>
      <w:proofErr w:type="gramEnd"/>
      <w:r>
        <w:t xml:space="preserve"> before all subsequent external applications.  Late applications will only be considered if places become available in all subjects requested at the time of receiving the application; if </w:t>
      </w:r>
      <w:r>
        <w:t xml:space="preserve">a place in all subjects is not </w:t>
      </w:r>
      <w:proofErr w:type="gramStart"/>
      <w:r>
        <w:t>available</w:t>
      </w:r>
      <w:proofErr w:type="gramEnd"/>
      <w:r>
        <w:t xml:space="preserve"> the application is held on the waiting list. </w:t>
      </w:r>
    </w:p>
    <w:p w:rsidR="001F181D" w:rsidRDefault="00BC299A">
      <w:r>
        <w:t xml:space="preserve"> </w:t>
      </w:r>
    </w:p>
    <w:p w:rsidR="001F181D" w:rsidRDefault="00BC299A">
      <w:pPr>
        <w:rPr>
          <w:b/>
          <w:u w:val="single"/>
        </w:rPr>
      </w:pPr>
      <w:r>
        <w:rPr>
          <w:b/>
          <w:u w:val="single"/>
        </w:rPr>
        <w:t>Waiting Lists</w:t>
      </w:r>
      <w:r>
        <w:rPr>
          <w:b/>
        </w:rPr>
        <w:t xml:space="preserve"> </w:t>
      </w:r>
    </w:p>
    <w:p w:rsidR="001F181D" w:rsidRDefault="00BC299A">
      <w:r>
        <w:t>If we are unable to offer applicants a place based on the details described in this policy, the school will hold a waiting list until 31st December in t</w:t>
      </w:r>
      <w:r>
        <w:t xml:space="preserve">he year of school admission.  Each application </w:t>
      </w:r>
      <w:proofErr w:type="gramStart"/>
      <w:r>
        <w:t>is ranked</w:t>
      </w:r>
      <w:proofErr w:type="gramEnd"/>
      <w:r>
        <w:t xml:space="preserve"> on the waiting list as determined by the oversubscription criteria (see above) and should a place become available applicants may be contacted.  </w:t>
      </w:r>
    </w:p>
    <w:p w:rsidR="001F181D" w:rsidRDefault="001F181D"/>
    <w:p w:rsidR="001F181D" w:rsidRDefault="00BC299A">
      <w:pPr>
        <w:rPr>
          <w:b/>
          <w:u w:val="single"/>
        </w:rPr>
      </w:pPr>
      <w:r>
        <w:rPr>
          <w:b/>
          <w:u w:val="single"/>
        </w:rPr>
        <w:t>Appeals Process</w:t>
      </w:r>
      <w:r>
        <w:rPr>
          <w:b/>
        </w:rPr>
        <w:t xml:space="preserve"> </w:t>
      </w:r>
    </w:p>
    <w:p w:rsidR="001F181D" w:rsidRDefault="00BC299A">
      <w:bookmarkStart w:id="1" w:name="_heading=h.gjdgxs" w:colFirst="0" w:colLast="0"/>
      <w:bookmarkEnd w:id="1"/>
      <w:r>
        <w:t xml:space="preserve">If an applicant </w:t>
      </w:r>
      <w:proofErr w:type="gramStart"/>
      <w:r>
        <w:t>is refused</w:t>
      </w:r>
      <w:proofErr w:type="gramEnd"/>
      <w:r>
        <w:t xml:space="preserve"> a place </w:t>
      </w:r>
      <w:r>
        <w:t>and wishes to make an appeal, they or their parents/carers may do so.</w:t>
      </w:r>
    </w:p>
    <w:p w:rsidR="001F181D" w:rsidRDefault="00BC299A">
      <w:r>
        <w:t>In relation to appeals that relate to a student not having secured the entry requirements, the student or their parents may write to the Headteacher and Head of Sixth Form, stating why t</w:t>
      </w:r>
      <w:r>
        <w:t xml:space="preserve">hey feel that there are mitigating </w:t>
      </w:r>
      <w:proofErr w:type="gramStart"/>
      <w:r>
        <w:t>circumstances which</w:t>
      </w:r>
      <w:proofErr w:type="gramEnd"/>
      <w:r>
        <w:t xml:space="preserve"> should be taken into account. This mitigation may involve, but not be limited to, one or more of the following:</w:t>
      </w:r>
    </w:p>
    <w:p w:rsidR="001F181D" w:rsidRDefault="00BC29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Special Educational Needs</w:t>
      </w:r>
    </w:p>
    <w:p w:rsidR="001F181D" w:rsidRDefault="00BC29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Significant underperformance against predicted outcomes</w:t>
      </w:r>
    </w:p>
    <w:p w:rsidR="001F181D" w:rsidRDefault="00BC29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Signifi</w:t>
      </w:r>
      <w:r>
        <w:rPr>
          <w:color w:val="000000"/>
        </w:rPr>
        <w:t xml:space="preserve">cant medical issues which impacted on a student’s performance </w:t>
      </w:r>
    </w:p>
    <w:p w:rsidR="001F181D" w:rsidRDefault="00BC29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</w:rPr>
        <w:t xml:space="preserve">Other </w:t>
      </w:r>
      <w:proofErr w:type="gramStart"/>
      <w:r>
        <w:rPr>
          <w:color w:val="000000"/>
        </w:rPr>
        <w:t>factors which</w:t>
      </w:r>
      <w:proofErr w:type="gramEnd"/>
      <w:r>
        <w:rPr>
          <w:color w:val="000000"/>
        </w:rPr>
        <w:t xml:space="preserve"> may have led to a student not performing in line with expectations.</w:t>
      </w:r>
    </w:p>
    <w:p w:rsidR="001F181D" w:rsidRDefault="00BC299A">
      <w:r>
        <w:t xml:space="preserve">It is important that the mitigation is enough to explain why a student has not secured the entry requirements. In such cases, the appeal will first be considered by the </w:t>
      </w:r>
      <w:proofErr w:type="gramStart"/>
      <w:r>
        <w:t>school which</w:t>
      </w:r>
      <w:proofErr w:type="gramEnd"/>
      <w:r>
        <w:t xml:space="preserve"> reserves the right to use its discretion to offer a place to that applican</w:t>
      </w:r>
      <w:r>
        <w:t>t, in line with the oversubscription criteria.</w:t>
      </w:r>
    </w:p>
    <w:p w:rsidR="001F181D" w:rsidRDefault="00BC299A">
      <w:proofErr w:type="gramStart"/>
      <w:r>
        <w:t>Should such an appeal be turned down,</w:t>
      </w:r>
      <w:proofErr w:type="gramEnd"/>
      <w:r>
        <w:t xml:space="preserve"> or appeals that relate to the applicant not having received a place due to the administration of the oversubscription criteria, applicants and their parents/carers have a </w:t>
      </w:r>
      <w:r>
        <w:t xml:space="preserve">right of appeal to an independent appeals panel administered by the Local Authority. </w:t>
      </w:r>
    </w:p>
    <w:p w:rsidR="001F181D" w:rsidRDefault="00BC299A">
      <w:pPr>
        <w:rPr>
          <w:sz w:val="18"/>
          <w:szCs w:val="18"/>
        </w:rPr>
      </w:pPr>
      <w:r>
        <w:br w:type="page"/>
      </w:r>
    </w:p>
    <w:p w:rsidR="001F181D" w:rsidRDefault="00BC299A">
      <w:pPr>
        <w:spacing w:after="0"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>Appendix A</w:t>
      </w:r>
      <w:r>
        <w:rPr>
          <w:b/>
          <w:sz w:val="28"/>
          <w:szCs w:val="28"/>
        </w:rPr>
        <w:t>: Specific Course requirements as at December 2020</w:t>
      </w:r>
    </w:p>
    <w:p w:rsidR="001F181D" w:rsidRDefault="001F181D">
      <w:pPr>
        <w:spacing w:after="0" w:line="240" w:lineRule="auto"/>
        <w:rPr>
          <w:b/>
          <w:sz w:val="28"/>
          <w:szCs w:val="28"/>
        </w:rPr>
      </w:pPr>
    </w:p>
    <w:tbl>
      <w:tblPr>
        <w:tblStyle w:val="a1"/>
        <w:tblW w:w="9330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010"/>
        <w:gridCol w:w="7320"/>
      </w:tblGrid>
      <w:tr w:rsidR="001F181D">
        <w:trPr>
          <w:trHeight w:val="58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7C4"/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Subject</w:t>
            </w:r>
          </w:p>
        </w:tc>
        <w:tc>
          <w:tcPr>
            <w:tcW w:w="7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7C4"/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Subject grade/entrance criteria 2022-23</w:t>
            </w:r>
          </w:p>
        </w:tc>
      </w:tr>
      <w:tr w:rsidR="001F181D">
        <w:trPr>
          <w:trHeight w:val="285"/>
        </w:trPr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Art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Students are expected to have achieved a grade </w:t>
            </w:r>
            <w:r>
              <w:t>6</w:t>
            </w:r>
            <w:r>
              <w:rPr>
                <w:color w:val="000000"/>
              </w:rPr>
              <w:t xml:space="preserve"> or above in </w:t>
            </w:r>
            <w:r>
              <w:t>Art.</w:t>
            </w:r>
          </w:p>
        </w:tc>
      </w:tr>
      <w:tr w:rsidR="001F181D">
        <w:trPr>
          <w:trHeight w:val="560"/>
        </w:trPr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EE5"/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Biology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EE5"/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Students are expected to </w:t>
            </w:r>
            <w:proofErr w:type="gramStart"/>
            <w:r>
              <w:t>have</w:t>
            </w:r>
            <w:r>
              <w:rPr>
                <w:color w:val="000000"/>
              </w:rPr>
              <w:t xml:space="preserve">  a</w:t>
            </w:r>
            <w:proofErr w:type="gramEnd"/>
            <w:r>
              <w:rPr>
                <w:color w:val="000000"/>
              </w:rPr>
              <w:t xml:space="preserve"> </w:t>
            </w:r>
            <w:r>
              <w:t>grade 6 or above  in Biology or Combined Science, and a grade 5 or above in Mathematics.</w:t>
            </w:r>
          </w:p>
        </w:tc>
      </w:tr>
      <w:tr w:rsidR="001F181D">
        <w:trPr>
          <w:trHeight w:val="255"/>
        </w:trPr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Business Studies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4"/>
                <w:szCs w:val="14"/>
              </w:rPr>
            </w:pPr>
            <w:r>
              <w:t>Students are expected to have a grade 6 in Business Studies, and a grade 5 or above in Mathematics and English Language.</w:t>
            </w:r>
          </w:p>
        </w:tc>
      </w:tr>
      <w:tr w:rsidR="001F181D">
        <w:trPr>
          <w:trHeight w:val="580"/>
        </w:trPr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EE5"/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Chemistry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EE5"/>
            <w:vAlign w:val="center"/>
          </w:tcPr>
          <w:p w:rsidR="001F181D" w:rsidRDefault="00BC299A">
            <w:pPr>
              <w:spacing w:after="0" w:line="240" w:lineRule="auto"/>
              <w:rPr>
                <w:color w:val="000000"/>
              </w:rPr>
            </w:pPr>
            <w:r>
              <w:t xml:space="preserve">Students are expected to </w:t>
            </w:r>
            <w:proofErr w:type="gramStart"/>
            <w:r>
              <w:t>have  a</w:t>
            </w:r>
            <w:proofErr w:type="gramEnd"/>
            <w:r>
              <w:t xml:space="preserve"> grade 6 or above  in Chemistry or Combined Science, and grade 5 or above in Mathematics.</w:t>
            </w:r>
          </w:p>
        </w:tc>
      </w:tr>
      <w:tr w:rsidR="001F181D">
        <w:trPr>
          <w:trHeight w:val="720"/>
        </w:trPr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Computing   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81D" w:rsidRDefault="00BC299A">
            <w:pPr>
              <w:spacing w:after="0" w:line="240" w:lineRule="auto"/>
              <w:rPr>
                <w:color w:val="000000"/>
              </w:rPr>
            </w:pPr>
            <w:r>
              <w:t>Students are expected to have a grade 6 Computing, and a grade 5 or above in Mathematics.</w:t>
            </w:r>
          </w:p>
        </w:tc>
      </w:tr>
      <w:tr w:rsidR="001F181D">
        <w:trPr>
          <w:trHeight w:val="720"/>
        </w:trPr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Dance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81D" w:rsidRDefault="00BC299A">
            <w:pPr>
              <w:spacing w:after="0" w:line="240" w:lineRule="auto"/>
            </w:pPr>
            <w:r>
              <w:t>General Sixth Form entry requirements.</w:t>
            </w:r>
          </w:p>
        </w:tc>
      </w:tr>
      <w:tr w:rsidR="001F181D">
        <w:trPr>
          <w:trHeight w:val="522"/>
        </w:trPr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EE5"/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Design Technology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EE5"/>
            <w:vAlign w:val="center"/>
          </w:tcPr>
          <w:p w:rsidR="001F181D" w:rsidRDefault="00BC299A">
            <w:pPr>
              <w:spacing w:after="0" w:line="240" w:lineRule="auto"/>
              <w:rPr>
                <w:color w:val="000000"/>
              </w:rPr>
            </w:pPr>
            <w:r>
              <w:t>Students are expected to have achieved a grade 6 or above in Design Technology.</w:t>
            </w:r>
          </w:p>
        </w:tc>
      </w:tr>
      <w:tr w:rsidR="001F181D">
        <w:trPr>
          <w:trHeight w:val="522"/>
        </w:trPr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EE5"/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Drama and Theatre Studies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EE5"/>
            <w:vAlign w:val="center"/>
          </w:tcPr>
          <w:p w:rsidR="001F181D" w:rsidRDefault="00BC299A">
            <w:pPr>
              <w:spacing w:after="0" w:line="240" w:lineRule="auto"/>
            </w:pPr>
            <w:r>
              <w:t>Students are expected to have achieved a grade 6 or above in Drama and/or English Literature.</w:t>
            </w:r>
          </w:p>
        </w:tc>
      </w:tr>
      <w:tr w:rsidR="001F181D">
        <w:trPr>
          <w:trHeight w:val="522"/>
        </w:trPr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EE5"/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English Language and Literature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EE5"/>
            <w:vAlign w:val="center"/>
          </w:tcPr>
          <w:p w:rsidR="001F181D" w:rsidRDefault="00BC299A">
            <w:pPr>
              <w:spacing w:after="0" w:line="240" w:lineRule="auto"/>
            </w:pPr>
            <w:r>
              <w:t>Students are expected to have achieved a grade 6 or above in both English Language and English Literatu</w:t>
            </w:r>
            <w:r>
              <w:t>re.</w:t>
            </w:r>
          </w:p>
        </w:tc>
      </w:tr>
      <w:tr w:rsidR="001F181D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EE5"/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English Literature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EE5"/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Students are expected to have achieved a grade 6 or above in both English Language and English Literature.</w:t>
            </w:r>
          </w:p>
        </w:tc>
      </w:tr>
      <w:tr w:rsidR="001F181D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Geography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Students are expected to have achieved grade </w:t>
            </w:r>
            <w:r>
              <w:t>6</w:t>
            </w:r>
            <w:r>
              <w:rPr>
                <w:color w:val="000000"/>
              </w:rPr>
              <w:t xml:space="preserve"> or above in geography.</w:t>
            </w:r>
          </w:p>
        </w:tc>
      </w:tr>
      <w:tr w:rsidR="001F181D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History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Students are expected to have achieved grade </w:t>
            </w:r>
            <w:r>
              <w:t>6</w:t>
            </w:r>
            <w:r>
              <w:rPr>
                <w:color w:val="000000"/>
              </w:rPr>
              <w:t xml:space="preserve"> or above in history.</w:t>
            </w:r>
          </w:p>
        </w:tc>
      </w:tr>
      <w:tr w:rsidR="001F181D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Mathematics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Students are expected to have achieved grade </w:t>
            </w:r>
            <w:r>
              <w:t>6</w:t>
            </w:r>
            <w:r>
              <w:rPr>
                <w:color w:val="000000"/>
              </w:rPr>
              <w:t xml:space="preserve"> or above in mathematics.</w:t>
            </w:r>
          </w:p>
        </w:tc>
      </w:tr>
      <w:tr w:rsidR="001F181D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EE5"/>
            <w:vAlign w:val="center"/>
          </w:tcPr>
          <w:p w:rsidR="001F181D" w:rsidRDefault="00BC299A">
            <w:pPr>
              <w:spacing w:after="0" w:line="240" w:lineRule="auto"/>
            </w:pPr>
            <w:r>
              <w:t>Further Mathematics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EE5"/>
            <w:vAlign w:val="center"/>
          </w:tcPr>
          <w:p w:rsidR="001F181D" w:rsidRDefault="00BC299A">
            <w:pPr>
              <w:spacing w:after="0" w:line="240" w:lineRule="auto"/>
            </w:pPr>
            <w:r>
              <w:t xml:space="preserve">Students </w:t>
            </w:r>
            <w:proofErr w:type="gramStart"/>
            <w:r>
              <w:t>are expected</w:t>
            </w:r>
            <w:proofErr w:type="gramEnd"/>
            <w:r>
              <w:t xml:space="preserve"> to have achieved grade 7 or above in mathematics; 8 is desir</w:t>
            </w:r>
            <w:r>
              <w:t>able for this challenging course.</w:t>
            </w:r>
          </w:p>
        </w:tc>
      </w:tr>
      <w:tr w:rsidR="001F181D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EE5"/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Modern Languages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EE5"/>
            <w:vAlign w:val="center"/>
          </w:tcPr>
          <w:p w:rsidR="001F181D" w:rsidRDefault="00BC299A">
            <w:pPr>
              <w:spacing w:after="0" w:line="240" w:lineRule="auto"/>
              <w:rPr>
                <w:color w:val="000000"/>
              </w:rPr>
            </w:pPr>
            <w:r>
              <w:t>Students are expected to have achieved grade 6 or above in French or German.</w:t>
            </w:r>
          </w:p>
        </w:tc>
      </w:tr>
      <w:tr w:rsidR="001F181D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Music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Students are expected to have achieved grade 6 or above in GCSE music, </w:t>
            </w:r>
            <w:r>
              <w:t>and a</w:t>
            </w:r>
            <w:r>
              <w:rPr>
                <w:color w:val="000000"/>
              </w:rPr>
              <w:t xml:space="preserve"> grade </w:t>
            </w:r>
            <w:r>
              <w:t>5 or above</w:t>
            </w:r>
            <w:r>
              <w:rPr>
                <w:color w:val="000000"/>
              </w:rPr>
              <w:t xml:space="preserve"> in theory and instrumental exams.</w:t>
            </w:r>
          </w:p>
        </w:tc>
      </w:tr>
      <w:tr w:rsidR="001F181D">
        <w:trPr>
          <w:trHeight w:val="520"/>
        </w:trPr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EE5"/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Philosophy and Ethics 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EE5"/>
            <w:vAlign w:val="center"/>
          </w:tcPr>
          <w:p w:rsidR="001F181D" w:rsidRDefault="00BC299A">
            <w:pPr>
              <w:spacing w:after="0" w:line="240" w:lineRule="auto"/>
              <w:rPr>
                <w:color w:val="000000"/>
              </w:rPr>
            </w:pPr>
            <w:r>
              <w:t xml:space="preserve">Students are expected to have achieved grade 6 or above in Religious Studies, and a grade 5 or </w:t>
            </w:r>
            <w:proofErr w:type="gramStart"/>
            <w:r>
              <w:t>above  in</w:t>
            </w:r>
            <w:proofErr w:type="gramEnd"/>
            <w:r>
              <w:t xml:space="preserve"> English Language.</w:t>
            </w:r>
          </w:p>
        </w:tc>
      </w:tr>
      <w:tr w:rsidR="001F181D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EE5"/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Physical Education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EE5"/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 specific requirement beyond entrance requirements.</w:t>
            </w:r>
          </w:p>
        </w:tc>
      </w:tr>
      <w:tr w:rsidR="001F181D">
        <w:trPr>
          <w:trHeight w:val="800"/>
        </w:trPr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Physics 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81D" w:rsidRDefault="00BC299A">
            <w:pPr>
              <w:spacing w:after="0" w:line="240" w:lineRule="auto"/>
              <w:rPr>
                <w:color w:val="000000"/>
              </w:rPr>
            </w:pPr>
            <w:r>
              <w:t xml:space="preserve">Students are expected to </w:t>
            </w:r>
            <w:proofErr w:type="gramStart"/>
            <w:r>
              <w:t>have  a</w:t>
            </w:r>
            <w:proofErr w:type="gramEnd"/>
            <w:r>
              <w:t xml:space="preserve"> grade 6 or above  in Physics or Combined Science, and grade 6 or above in Mathematics.</w:t>
            </w:r>
          </w:p>
        </w:tc>
      </w:tr>
      <w:tr w:rsidR="001F181D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EE5"/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Psychology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EE5"/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Students are expected to have achieved grade </w:t>
            </w:r>
            <w:r>
              <w:t>6</w:t>
            </w:r>
            <w:r>
              <w:rPr>
                <w:color w:val="000000"/>
              </w:rPr>
              <w:t xml:space="preserve"> or above in English Language </w:t>
            </w:r>
            <w:r>
              <w:t>M</w:t>
            </w:r>
            <w:r>
              <w:rPr>
                <w:color w:val="000000"/>
              </w:rPr>
              <w:t xml:space="preserve">athematics, and at least two grade </w:t>
            </w:r>
            <w:r>
              <w:t>6</w:t>
            </w:r>
            <w:r>
              <w:rPr>
                <w:color w:val="000000"/>
              </w:rPr>
              <w:t xml:space="preserve">s or above in </w:t>
            </w:r>
            <w:r>
              <w:t>science</w:t>
            </w:r>
            <w:r>
              <w:rPr>
                <w:color w:val="000000"/>
              </w:rPr>
              <w:t>.</w:t>
            </w:r>
          </w:p>
        </w:tc>
      </w:tr>
      <w:tr w:rsidR="001F181D">
        <w:trPr>
          <w:trHeight w:val="420"/>
        </w:trPr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Sociology   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81D" w:rsidRDefault="00BC299A">
            <w:pPr>
              <w:spacing w:after="0" w:line="240" w:lineRule="auto"/>
              <w:rPr>
                <w:color w:val="000000"/>
              </w:rPr>
            </w:pPr>
            <w:r>
              <w:t>Students are expected to have achieved a grade 6 or above in English Language.</w:t>
            </w:r>
          </w:p>
        </w:tc>
      </w:tr>
      <w:tr w:rsidR="001F181D">
        <w:trPr>
          <w:trHeight w:val="420"/>
        </w:trPr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Textiles Technology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81D" w:rsidRDefault="00BC299A">
            <w:pPr>
              <w:spacing w:after="0" w:line="240" w:lineRule="auto"/>
            </w:pPr>
            <w:r>
              <w:t>Students are expected to have achieved a grade 6 or above in Design Technology or Textiles.</w:t>
            </w:r>
          </w:p>
        </w:tc>
      </w:tr>
    </w:tbl>
    <w:p w:rsidR="001F181D" w:rsidRDefault="001F181D">
      <w:pPr>
        <w:spacing w:after="0" w:line="240" w:lineRule="auto"/>
      </w:pPr>
    </w:p>
    <w:p w:rsidR="001F181D" w:rsidRDefault="001F181D">
      <w:pPr>
        <w:spacing w:after="0" w:line="276" w:lineRule="auto"/>
        <w:rPr>
          <w:i/>
          <w:sz w:val="16"/>
          <w:szCs w:val="16"/>
        </w:rPr>
      </w:pPr>
    </w:p>
    <w:p w:rsidR="001F181D" w:rsidRDefault="00BC299A">
      <w:pPr>
        <w:rPr>
          <w:b/>
        </w:rPr>
      </w:pPr>
      <w:bookmarkStart w:id="2" w:name="_heading=h.30j0zll" w:colFirst="0" w:colLast="0"/>
      <w:bookmarkEnd w:id="2"/>
      <w:r>
        <w:br w:type="page"/>
      </w:r>
    </w:p>
    <w:p w:rsidR="001F181D" w:rsidRDefault="00BC299A">
      <w:pPr>
        <w:spacing w:after="0" w:line="276" w:lineRule="auto"/>
        <w:rPr>
          <w:b/>
        </w:rPr>
      </w:pPr>
      <w:bookmarkStart w:id="3" w:name="_heading=h.1fob9te" w:colFirst="0" w:colLast="0"/>
      <w:bookmarkEnd w:id="3"/>
      <w:r>
        <w:rPr>
          <w:b/>
        </w:rPr>
        <w:lastRenderedPageBreak/>
        <w:t>To be reviewed annually</w:t>
      </w:r>
    </w:p>
    <w:p w:rsidR="001F181D" w:rsidRDefault="001F181D">
      <w:pPr>
        <w:spacing w:after="0" w:line="240" w:lineRule="auto"/>
        <w:rPr>
          <w:b/>
        </w:rPr>
      </w:pPr>
    </w:p>
    <w:p w:rsidR="001F181D" w:rsidRDefault="00BC299A">
      <w:pPr>
        <w:spacing w:after="0" w:line="240" w:lineRule="auto"/>
        <w:rPr>
          <w:b/>
        </w:rPr>
      </w:pPr>
      <w:r>
        <w:rPr>
          <w:b/>
        </w:rPr>
        <w:t>Appendix B: Point Scores available per Grade</w:t>
      </w:r>
    </w:p>
    <w:p w:rsidR="001F181D" w:rsidRDefault="001F181D">
      <w:pPr>
        <w:spacing w:after="0" w:line="240" w:lineRule="auto"/>
        <w:rPr>
          <w:b/>
        </w:rPr>
      </w:pPr>
    </w:p>
    <w:p w:rsidR="001F181D" w:rsidRDefault="00BC299A">
      <w:pPr>
        <w:spacing w:after="44"/>
      </w:pPr>
      <w:r>
        <w:rPr>
          <w:b/>
        </w:rPr>
        <w:t>Entry Requirements</w:t>
      </w:r>
    </w:p>
    <w:p w:rsidR="001F181D" w:rsidRDefault="00BC299A">
      <w:r>
        <w:t xml:space="preserve">All students will require 38 GCSE points in their highest </w:t>
      </w:r>
      <w:proofErr w:type="gramStart"/>
      <w:r>
        <w:t>8</w:t>
      </w:r>
      <w:proofErr w:type="gramEnd"/>
      <w:r>
        <w:t xml:space="preserve"> GCSEs. This must include a minimum of grade 4 in both English (language or literature) and mathematics GCSE.</w:t>
      </w:r>
    </w:p>
    <w:tbl>
      <w:tblPr>
        <w:tblStyle w:val="a2"/>
        <w:tblW w:w="9204" w:type="dxa"/>
        <w:tblLayout w:type="fixed"/>
        <w:tblLook w:val="0400" w:firstRow="0" w:lastRow="0" w:firstColumn="0" w:lastColumn="0" w:noHBand="0" w:noVBand="1"/>
      </w:tblPr>
      <w:tblGrid>
        <w:gridCol w:w="2301"/>
        <w:gridCol w:w="2301"/>
        <w:gridCol w:w="2301"/>
        <w:gridCol w:w="2301"/>
      </w:tblGrid>
      <w:tr w:rsidR="001F181D">
        <w:trPr>
          <w:trHeight w:val="695"/>
        </w:trPr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F181D" w:rsidRDefault="00BC29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GCSE Grade</w:t>
            </w:r>
          </w:p>
        </w:tc>
        <w:tc>
          <w:tcPr>
            <w:tcW w:w="23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F181D" w:rsidRDefault="00BC29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 Awarded</w:t>
            </w:r>
          </w:p>
        </w:tc>
        <w:tc>
          <w:tcPr>
            <w:tcW w:w="23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F181D" w:rsidRDefault="00BC29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Old GCSE Grade</w:t>
            </w:r>
          </w:p>
        </w:tc>
        <w:tc>
          <w:tcPr>
            <w:tcW w:w="23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F181D" w:rsidRDefault="00BC29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 Awarded</w:t>
            </w:r>
          </w:p>
        </w:tc>
      </w:tr>
      <w:tr w:rsidR="001F181D">
        <w:trPr>
          <w:trHeight w:val="374"/>
        </w:trPr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0" w:type="dxa"/>
              <w:bottom w:w="0" w:type="dxa"/>
              <w:right w:w="0" w:type="dxa"/>
            </w:tcMar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181D" w:rsidRDefault="001F1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181D" w:rsidRDefault="001F1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F181D">
        <w:trPr>
          <w:trHeight w:val="374"/>
        </w:trPr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A*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8.5</w:t>
            </w:r>
          </w:p>
        </w:tc>
      </w:tr>
      <w:tr w:rsidR="001F181D">
        <w:trPr>
          <w:trHeight w:val="374"/>
        </w:trPr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1F181D">
        <w:trPr>
          <w:trHeight w:val="374"/>
        </w:trPr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5.5</w:t>
            </w:r>
          </w:p>
        </w:tc>
      </w:tr>
      <w:tr w:rsidR="001F181D">
        <w:trPr>
          <w:trHeight w:val="374"/>
        </w:trPr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F181D">
        <w:trPr>
          <w:trHeight w:val="374"/>
        </w:trPr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F181D">
        <w:trPr>
          <w:trHeight w:val="374"/>
        </w:trPr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F181D">
        <w:trPr>
          <w:trHeight w:val="374"/>
        </w:trPr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</w:tr>
      <w:tr w:rsidR="001F181D">
        <w:trPr>
          <w:trHeight w:val="374"/>
        </w:trPr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F181D">
        <w:trPr>
          <w:trHeight w:val="374"/>
        </w:trPr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181D" w:rsidRDefault="00BC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1F181D" w:rsidRDefault="001F18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F181D" w:rsidRDefault="001F181D">
      <w:pPr>
        <w:rPr>
          <w:sz w:val="24"/>
          <w:szCs w:val="24"/>
        </w:rPr>
      </w:pPr>
    </w:p>
    <w:p w:rsidR="001F181D" w:rsidRDefault="001F181D">
      <w:pPr>
        <w:rPr>
          <w:sz w:val="17"/>
          <w:szCs w:val="17"/>
        </w:rPr>
      </w:pPr>
    </w:p>
    <w:p w:rsidR="001F181D" w:rsidRDefault="001F181D">
      <w:pPr>
        <w:spacing w:after="0" w:line="240" w:lineRule="auto"/>
        <w:rPr>
          <w:b/>
          <w:sz w:val="28"/>
          <w:szCs w:val="28"/>
        </w:rPr>
      </w:pPr>
    </w:p>
    <w:p w:rsidR="001F181D" w:rsidRDefault="001F181D">
      <w:pPr>
        <w:spacing w:after="0" w:line="240" w:lineRule="auto"/>
        <w:rPr>
          <w:i/>
          <w:sz w:val="16"/>
          <w:szCs w:val="16"/>
        </w:rPr>
      </w:pPr>
    </w:p>
    <w:sectPr w:rsidR="001F18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134" w:bottom="1276" w:left="1440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C299A">
      <w:pPr>
        <w:spacing w:after="0" w:line="240" w:lineRule="auto"/>
      </w:pPr>
      <w:r>
        <w:separator/>
      </w:r>
    </w:p>
  </w:endnote>
  <w:endnote w:type="continuationSeparator" w:id="0">
    <w:p w:rsidR="00000000" w:rsidRDefault="00BC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1D" w:rsidRDefault="001F181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1D" w:rsidRDefault="00BC29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12728534.1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1D" w:rsidRDefault="00BC29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12728534.1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C299A">
      <w:pPr>
        <w:spacing w:after="0" w:line="240" w:lineRule="auto"/>
      </w:pPr>
      <w:r>
        <w:separator/>
      </w:r>
    </w:p>
  </w:footnote>
  <w:footnote w:type="continuationSeparator" w:id="0">
    <w:p w:rsidR="00000000" w:rsidRDefault="00BC2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1D" w:rsidRDefault="001F181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1D" w:rsidRDefault="00BC29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-733"/>
      <w:rPr>
        <w:color w:val="000000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1302528" cy="623253"/>
          <wp:effectExtent l="0" t="0" r="0" b="0"/>
          <wp:docPr id="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2528" cy="6232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114300" distB="114300" distL="114300" distR="114300">
          <wp:extent cx="1776413" cy="506582"/>
          <wp:effectExtent l="0" t="0" r="0" b="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6413" cy="5065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1D" w:rsidRDefault="001F181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29F"/>
    <w:multiLevelType w:val="multilevel"/>
    <w:tmpl w:val="38104CBE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6DF7"/>
    <w:multiLevelType w:val="multilevel"/>
    <w:tmpl w:val="FB906B58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41E1E"/>
    <w:multiLevelType w:val="multilevel"/>
    <w:tmpl w:val="5936FB4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BE69BF"/>
    <w:multiLevelType w:val="multilevel"/>
    <w:tmpl w:val="3504211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68B6AA0"/>
    <w:multiLevelType w:val="multilevel"/>
    <w:tmpl w:val="79E242D0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763A8"/>
    <w:multiLevelType w:val="multilevel"/>
    <w:tmpl w:val="FB00B56A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1D"/>
    <w:rsid w:val="001F181D"/>
    <w:rsid w:val="00BC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1D84B9-A2DC-48EA-90F8-0D59905D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 w:line="240" w:lineRule="auto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928D7"/>
    <w:pPr>
      <w:ind w:left="720"/>
      <w:contextualSpacing/>
    </w:pPr>
  </w:style>
  <w:style w:type="paragraph" w:styleId="NoSpacing">
    <w:name w:val="No Spacing"/>
    <w:uiPriority w:val="1"/>
    <w:qFormat/>
    <w:rsid w:val="008928D7"/>
    <w:pPr>
      <w:spacing w:after="0" w:line="240" w:lineRule="auto"/>
    </w:p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shire.gov.uk/cms/content/secondary-school-application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hipping-norton.oxon.sch.uk/students/6th-form/joining-the-sixth-form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Lnsdry5jA31xCGAqYEGfGBSpWQ==">AMUW2mVrGq83f9gmRVRWDheyCaT3jDMsbO/FJKompFnWOHEcN/ciDTO/FcGwfu/0z7xNHwJCnCceXf+2c4Lu3/rJSBP/C+nBnoDGpMX+wz1YrzdydKWspKtOkzFlqPDBjQLQAqt4q7JpIr4qLU+wUFWCV9OS/qcHog==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Doherty</dc:creator>
  <cp:lastModifiedBy>Barry Doherty</cp:lastModifiedBy>
  <cp:revision>2</cp:revision>
  <dcterms:created xsi:type="dcterms:W3CDTF">2020-12-14T11:09:00Z</dcterms:created>
  <dcterms:modified xsi:type="dcterms:W3CDTF">2020-12-14T11:09:00Z</dcterms:modified>
</cp:coreProperties>
</file>